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65552" w14:textId="40F1186A" w:rsidR="005B66A9" w:rsidRPr="001405C6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ANEXO V</w:t>
      </w:r>
      <w:r w:rsidR="00394582">
        <w:rPr>
          <w:rFonts w:ascii="Times New Roman" w:hAnsi="Times New Roman" w:cs="Times New Roman"/>
          <w:b/>
          <w:bCs/>
          <w:sz w:val="22"/>
          <w:szCs w:val="22"/>
        </w:rPr>
        <w:t>I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– </w:t>
      </w:r>
      <w:r w:rsidRPr="001405C6">
        <w:rPr>
          <w:rFonts w:ascii="Times New Roman" w:hAnsi="Times New Roman" w:cs="Times New Roman"/>
          <w:b/>
          <w:bCs/>
          <w:sz w:val="22"/>
          <w:szCs w:val="22"/>
        </w:rPr>
        <w:t xml:space="preserve">Edital de Pregão Eletrônico SRRF09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Nº </w:t>
      </w:r>
      <w:r w:rsidR="00394582">
        <w:rPr>
          <w:rFonts w:ascii="Times New Roman" w:hAnsi="Times New Roman" w:cs="Times New Roman"/>
          <w:b/>
          <w:bCs/>
          <w:color w:val="000000"/>
          <w:sz w:val="22"/>
          <w:szCs w:val="22"/>
        </w:rPr>
        <w:t>13</w:t>
      </w:r>
      <w:r w:rsidRPr="001405C6">
        <w:rPr>
          <w:rFonts w:ascii="Times New Roman" w:hAnsi="Times New Roman" w:cs="Times New Roman"/>
          <w:b/>
          <w:bCs/>
          <w:color w:val="000000"/>
          <w:sz w:val="22"/>
          <w:szCs w:val="22"/>
        </w:rPr>
        <w:t>/2022</w:t>
      </w:r>
    </w:p>
    <w:p w14:paraId="672A6659" w14:textId="77777777" w:rsidR="005B66A9" w:rsidRDefault="005B66A9" w:rsidP="005B66A9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1ACF218" w14:textId="77777777" w:rsidR="005B66A9" w:rsidRPr="001405C6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b/>
          <w:bCs/>
          <w:sz w:val="22"/>
          <w:szCs w:val="22"/>
        </w:rPr>
        <w:t>MODELO DE PROPOSTA DE PREÇO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405C6">
        <w:rPr>
          <w:rFonts w:ascii="Times New Roman" w:hAnsi="Times New Roman" w:cs="Times New Roman"/>
          <w:b/>
          <w:bCs/>
          <w:sz w:val="22"/>
          <w:szCs w:val="22"/>
        </w:rPr>
        <w:br/>
      </w:r>
    </w:p>
    <w:p w14:paraId="543738FC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color w:val="FF0000"/>
          <w:sz w:val="22"/>
          <w:szCs w:val="22"/>
        </w:rPr>
        <w:br/>
      </w:r>
      <w:r w:rsidR="00136B3B">
        <w:rPr>
          <w:rFonts w:ascii="Times New Roman" w:hAnsi="Times New Roman" w:cs="Times New Roman"/>
          <w:sz w:val="22"/>
          <w:szCs w:val="22"/>
        </w:rPr>
        <w:t xml:space="preserve">A empresa </w:t>
      </w:r>
      <w:r w:rsidRPr="001405C6">
        <w:rPr>
          <w:rFonts w:ascii="Times New Roman" w:hAnsi="Times New Roman" w:cs="Times New Roman"/>
          <w:sz w:val="22"/>
          <w:szCs w:val="22"/>
        </w:rPr>
        <w:t>….........................................…………………………………………….........… inscrita no CNPJ n.°...................................por intermédio de seu representante legal, o(a) Sr(a) ............................................................, portador (a) da Carteira de Identidade n°.................................e do CPF n°.…....................… telefone……………………...e-mail………………………….apresenta a sua Proposta de Preço nos seguintes termos:</w:t>
      </w:r>
    </w:p>
    <w:p w14:paraId="0A37501D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DAB6C7B" w14:textId="77777777" w:rsidR="005B66A9" w:rsidRPr="001405C6" w:rsidRDefault="005B66A9" w:rsidP="005B66A9">
      <w:pPr>
        <w:pStyle w:val="Standard"/>
        <w:rPr>
          <w:rFonts w:ascii="Times New Roman" w:hAnsi="Times New Roman" w:cs="Times New Roman"/>
          <w:b/>
          <w:bCs/>
          <w:sz w:val="22"/>
          <w:szCs w:val="22"/>
        </w:rPr>
      </w:pPr>
    </w:p>
    <w:p w14:paraId="5E8DCF6E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405C6">
        <w:rPr>
          <w:rFonts w:ascii="Times New Roman" w:hAnsi="Times New Roman" w:cs="Times New Roman"/>
          <w:b/>
          <w:bCs/>
          <w:sz w:val="22"/>
          <w:szCs w:val="22"/>
        </w:rPr>
        <w:t xml:space="preserve">VALOR GLOBAL DA PROPOSTA (para </w:t>
      </w:r>
      <w:r w:rsidR="00136B3B">
        <w:rPr>
          <w:rFonts w:ascii="Times New Roman" w:hAnsi="Times New Roman" w:cs="Times New Roman"/>
          <w:b/>
          <w:bCs/>
          <w:sz w:val="22"/>
          <w:szCs w:val="22"/>
        </w:rPr>
        <w:t>24</w:t>
      </w:r>
      <w:r w:rsidRPr="001405C6">
        <w:rPr>
          <w:rFonts w:ascii="Times New Roman" w:hAnsi="Times New Roman" w:cs="Times New Roman"/>
          <w:b/>
          <w:bCs/>
          <w:sz w:val="22"/>
          <w:szCs w:val="22"/>
        </w:rPr>
        <w:t xml:space="preserve"> meses): R$ (por extenso) </w:t>
      </w:r>
    </w:p>
    <w:p w14:paraId="02EB378F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A05A809" w14:textId="77777777" w:rsidR="00136B3B" w:rsidRDefault="00136B3B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comgrade"/>
        <w:tblW w:w="10348" w:type="dxa"/>
        <w:tblInd w:w="-1281" w:type="dxa"/>
        <w:tblLayout w:type="fixed"/>
        <w:tblLook w:val="06A0" w:firstRow="1" w:lastRow="0" w:firstColumn="1" w:lastColumn="0" w:noHBand="1" w:noVBand="1"/>
      </w:tblPr>
      <w:tblGrid>
        <w:gridCol w:w="1985"/>
        <w:gridCol w:w="1775"/>
        <w:gridCol w:w="1350"/>
        <w:gridCol w:w="1411"/>
        <w:gridCol w:w="1701"/>
        <w:gridCol w:w="2126"/>
      </w:tblGrid>
      <w:tr w:rsidR="00F63C75" w14:paraId="09CA0064" w14:textId="77777777" w:rsidTr="00950D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B392" w14:textId="3D22511E" w:rsidR="00F63C75" w:rsidRDefault="00F63C75" w:rsidP="00F63C75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>
              <w:rPr>
                <w:b/>
                <w:bCs/>
                <w:color w:val="000000" w:themeColor="text1"/>
                <w:szCs w:val="20"/>
              </w:rPr>
              <w:t xml:space="preserve">ITEM </w:t>
            </w:r>
            <w:r w:rsidR="00DE08AC">
              <w:rPr>
                <w:b/>
                <w:bCs/>
                <w:color w:val="000000" w:themeColor="text1"/>
                <w:szCs w:val="20"/>
              </w:rPr>
              <w:t>2</w:t>
            </w:r>
            <w:r>
              <w:rPr>
                <w:b/>
                <w:bCs/>
                <w:color w:val="000000" w:themeColor="text1"/>
                <w:szCs w:val="20"/>
              </w:rPr>
              <w:t xml:space="preserve"> – DRF/</w:t>
            </w:r>
            <w:r w:rsidR="00950D06">
              <w:rPr>
                <w:b/>
                <w:bCs/>
                <w:color w:val="000000" w:themeColor="text1"/>
                <w:szCs w:val="20"/>
              </w:rPr>
              <w:t>J</w:t>
            </w:r>
            <w:r>
              <w:rPr>
                <w:b/>
                <w:bCs/>
                <w:color w:val="000000" w:themeColor="text1"/>
                <w:szCs w:val="20"/>
              </w:rPr>
              <w:t>O</w:t>
            </w:r>
            <w:r w:rsidR="00DE08AC">
              <w:rPr>
                <w:b/>
                <w:bCs/>
                <w:color w:val="000000" w:themeColor="text1"/>
                <w:szCs w:val="20"/>
              </w:rPr>
              <w:t>AÇABA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6066" w14:textId="101DB099" w:rsidR="00F63C75" w:rsidRPr="00F63C75" w:rsidRDefault="00950D06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  <w:t>P</w:t>
            </w:r>
            <w:r w:rsidR="00F63C75" w:rsidRPr="00F63C75"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  <w:t>arcela fixa mensal –</w:t>
            </w:r>
          </w:p>
          <w:p w14:paraId="3C80712B" w14:textId="1389EAF1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  <w:t>Manutenção preventiva (inclusive peças) e manutenção corretiva (serviços)</w:t>
            </w:r>
          </w:p>
          <w:p w14:paraId="58803070" w14:textId="77777777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(A)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DBE6" w14:textId="77777777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Parcela variável (30% do VALOR FIXO – peças p/manutenção corretiva)</w:t>
            </w:r>
          </w:p>
          <w:p w14:paraId="79332FB6" w14:textId="1723F5D3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 xml:space="preserve">(A) x 30% = (B)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963" w14:textId="77777777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</w:p>
          <w:p w14:paraId="5DF01BB6" w14:textId="77777777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</w:p>
          <w:p w14:paraId="0838B0DB" w14:textId="718D89E5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BDI (valor máximo 10%)</w:t>
            </w:r>
          </w:p>
          <w:p w14:paraId="78ABCD99" w14:textId="01E58320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(10% sobre B) = (C)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33C0" w14:textId="51425460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Preço máximo mensal estimado – com parcela variável</w:t>
            </w:r>
          </w:p>
          <w:p w14:paraId="435700C7" w14:textId="1B5DCDCE" w:rsidR="00F63C75" w:rsidRPr="00F63C75" w:rsidRDefault="00950D06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A + B + C = 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D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EBE0" w14:textId="0CC14C81" w:rsid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Preço global máximo estimado para 24 meses</w:t>
            </w:r>
          </w:p>
          <w:p w14:paraId="6EA0B4AC" w14:textId="2CDD1FA6" w:rsidR="00950D06" w:rsidRDefault="00950D06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(</w:t>
            </w:r>
            <w:r w:rsidRPr="00950D06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D x 24</w:t>
            </w:r>
            <w:r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)</w:t>
            </w:r>
          </w:p>
          <w:p w14:paraId="6508A2AD" w14:textId="63A30266" w:rsidR="00950D06" w:rsidRPr="00F63C75" w:rsidRDefault="00950D06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</w:pPr>
          </w:p>
        </w:tc>
      </w:tr>
      <w:tr w:rsidR="00F63C75" w14:paraId="702EB7EC" w14:textId="77777777" w:rsidTr="00950D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B3B0" w14:textId="5F640954" w:rsidR="00F63C75" w:rsidRDefault="00F63C75" w:rsidP="00F63C75">
            <w:r w:rsidRPr="00136B3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Manutenção preventiva e corretiva do sistema de ar condicionado (AVAC), tipo VRF, com fornecimento </w:t>
            </w:r>
            <w:r w:rsidRPr="00136B3B">
              <w:rPr>
                <w:rFonts w:asciiTheme="minorHAnsi" w:eastAsia="Calibri" w:hAnsiTheme="minorHAnsi" w:cstheme="minorHAnsi"/>
                <w:color w:val="000000" w:themeColor="text1"/>
                <w:szCs w:val="20"/>
              </w:rPr>
              <w:t>de materiais de consumo, peças de reposição, componentes e/ou acessórios</w:t>
            </w:r>
            <w:r w:rsidRPr="00136B3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conforme detalhado na especificação dos serviços.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FD56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1CE7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1FB67E8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</w:tr>
      <w:tr w:rsidR="00F63C75" w14:paraId="049F31CB" w14:textId="77777777" w:rsidTr="00950D0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128261" w14:textId="262446EC" w:rsidR="00F63C75" w:rsidRPr="6764878A" w:rsidRDefault="00F63C75" w:rsidP="00F63C75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99C43A" w14:textId="77777777" w:rsidR="00F63C75" w:rsidRPr="00136B3B" w:rsidRDefault="00F63C75" w:rsidP="00F63C75">
            <w:pPr>
              <w:ind w:left="305"/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E53FF" w14:textId="3706E438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6AC39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DBEF00" w14:textId="023799DF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61D779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</w:tr>
    </w:tbl>
    <w:p w14:paraId="488E86C6" w14:textId="1ED53BB7" w:rsidR="00CC09D5" w:rsidRDefault="00CC09D5" w:rsidP="00D20F40">
      <w:pPr>
        <w:jc w:val="both"/>
        <w:rPr>
          <w:rFonts w:ascii="Calibri" w:eastAsia="Calibri" w:hAnsi="Calibri" w:cs="Calibri"/>
          <w:color w:val="000000" w:themeColor="text1"/>
          <w:szCs w:val="20"/>
        </w:rPr>
      </w:pPr>
    </w:p>
    <w:p w14:paraId="7560A788" w14:textId="77777777" w:rsidR="00CC09D5" w:rsidRDefault="00CC09D5" w:rsidP="00D20F40">
      <w:pPr>
        <w:jc w:val="both"/>
        <w:rPr>
          <w:rFonts w:ascii="Calibri" w:eastAsia="Calibri" w:hAnsi="Calibri" w:cs="Calibri"/>
          <w:color w:val="000000" w:themeColor="text1"/>
          <w:szCs w:val="20"/>
        </w:rPr>
      </w:pPr>
    </w:p>
    <w:p w14:paraId="3EA46135" w14:textId="77777777" w:rsidR="00D20F40" w:rsidRDefault="00D20F40" w:rsidP="00D20F40">
      <w:pPr>
        <w:jc w:val="both"/>
        <w:rPr>
          <w:rFonts w:ascii="Calibri" w:eastAsia="Calibri" w:hAnsi="Calibri" w:cs="Calibri"/>
          <w:color w:val="000000" w:themeColor="text1"/>
          <w:szCs w:val="20"/>
        </w:rPr>
      </w:pPr>
      <w:r w:rsidRPr="1A685062">
        <w:rPr>
          <w:rFonts w:ascii="Calibri" w:eastAsia="Calibri" w:hAnsi="Calibri" w:cs="Calibri"/>
          <w:color w:val="000000" w:themeColor="text1"/>
          <w:szCs w:val="20"/>
        </w:rPr>
        <w:t>A composição dos custos para apresentação de proposta deve considerar a seguinte formatação:</w:t>
      </w:r>
    </w:p>
    <w:tbl>
      <w:tblPr>
        <w:tblStyle w:val="Tabelacomgrade"/>
        <w:tblW w:w="9015" w:type="dxa"/>
        <w:tblLayout w:type="fixed"/>
        <w:tblLook w:val="06A0" w:firstRow="1" w:lastRow="0" w:firstColumn="1" w:lastColumn="0" w:noHBand="1" w:noVBand="1"/>
      </w:tblPr>
      <w:tblGrid>
        <w:gridCol w:w="6459"/>
        <w:gridCol w:w="2556"/>
      </w:tblGrid>
      <w:tr w:rsidR="00D20F40" w:rsidRPr="00D20F40" w14:paraId="336F1512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E945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 xml:space="preserve">Função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23C5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Valor total mensal (em R$)</w:t>
            </w:r>
          </w:p>
        </w:tc>
      </w:tr>
      <w:tr w:rsidR="00D20F40" w:rsidRPr="00D20F40" w14:paraId="6FF7369E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8072" w14:textId="3238B85B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Manutenção preventiva (inclusive peças) e manutenção corretiva (serviços)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4539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A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</w:tr>
      <w:tr w:rsidR="00D20F40" w:rsidRPr="00D20F40" w14:paraId="2863E43F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FF86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Parcela variável (30% do VALOR FIXO – peças p/manutenção corretiva)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15DE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(A) x 30% = 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B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</w:tr>
      <w:tr w:rsidR="00D20F40" w:rsidRPr="00D20F40" w14:paraId="1140E6A6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A73E" w14:textId="3A2B0055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BDI </w:t>
            </w:r>
            <w:r w:rsidR="004146D9">
              <w:rPr>
                <w:rFonts w:asciiTheme="minorHAnsi" w:hAnsiTheme="minorHAnsi" w:cstheme="minorHAnsi"/>
                <w:color w:val="00000A"/>
                <w:szCs w:val="20"/>
              </w:rPr>
              <w:t>(valor máximo 10%)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393A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(10% sobre B) = 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C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</w:tr>
      <w:tr w:rsidR="00D20F40" w:rsidRPr="00D20F40" w14:paraId="079ED026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4596" w14:textId="17106556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Preço máximo mensal estimado </w:t>
            </w:r>
            <w:r w:rsidR="00CC09D5">
              <w:rPr>
                <w:rFonts w:asciiTheme="minorHAnsi" w:hAnsiTheme="minorHAnsi" w:cstheme="minorHAnsi"/>
                <w:color w:val="00000A"/>
                <w:szCs w:val="20"/>
              </w:rPr>
              <w:t>– com parcela variável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79C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A + B + C = 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D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</w:tr>
      <w:tr w:rsidR="00D20F40" w:rsidRPr="00D20F40" w14:paraId="044971C0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F521" w14:textId="1C86AD09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Preço global máximo estimado para</w:t>
            </w:r>
            <w:r w:rsidR="00CC09D5">
              <w:rPr>
                <w:rFonts w:asciiTheme="minorHAnsi" w:hAnsiTheme="minorHAnsi" w:cstheme="minorHAnsi"/>
                <w:color w:val="00000A"/>
                <w:szCs w:val="20"/>
              </w:rPr>
              <w:t xml:space="preserve"> 24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 meses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374B" w14:textId="3365EF48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 xml:space="preserve">D 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x </w:t>
            </w:r>
            <w:r w:rsidR="009150B5">
              <w:rPr>
                <w:rFonts w:asciiTheme="minorHAnsi" w:hAnsiTheme="minorHAnsi" w:cstheme="minorHAnsi"/>
                <w:color w:val="00000A"/>
                <w:szCs w:val="20"/>
              </w:rPr>
              <w:t>24</w:t>
            </w:r>
          </w:p>
        </w:tc>
      </w:tr>
    </w:tbl>
    <w:p w14:paraId="5997CC1D" w14:textId="77777777" w:rsidR="00D20F40" w:rsidRPr="00D20F40" w:rsidRDefault="00D20F40" w:rsidP="00D20F40">
      <w:pPr>
        <w:jc w:val="both"/>
        <w:rPr>
          <w:rFonts w:asciiTheme="minorHAnsi" w:eastAsia="Calibri" w:hAnsiTheme="minorHAnsi" w:cstheme="minorHAnsi"/>
          <w:color w:val="000000" w:themeColor="text1"/>
          <w:szCs w:val="20"/>
        </w:rPr>
      </w:pPr>
    </w:p>
    <w:p w14:paraId="27A21EB4" w14:textId="77777777" w:rsidR="00D20F40" w:rsidRPr="00D20F40" w:rsidRDefault="00D20F40" w:rsidP="00D20F40">
      <w:pPr>
        <w:pStyle w:val="SemEspaamento"/>
        <w:rPr>
          <w:rFonts w:asciiTheme="minorHAnsi" w:eastAsia="Calibri" w:hAnsiTheme="minorHAnsi" w:cstheme="minorHAnsi"/>
        </w:rPr>
      </w:pPr>
      <w:r w:rsidRPr="00D20F40">
        <w:rPr>
          <w:rFonts w:asciiTheme="minorHAnsi" w:eastAsia="Calibri" w:hAnsiTheme="minorHAnsi" w:cstheme="minorHAnsi"/>
        </w:rPr>
        <w:t>A - Preço mensal fixo dos serviços;</w:t>
      </w:r>
    </w:p>
    <w:p w14:paraId="1A87A66C" w14:textId="77777777" w:rsidR="00D20F40" w:rsidRPr="00D20F40" w:rsidRDefault="00D20F40" w:rsidP="00D20F40">
      <w:pPr>
        <w:pStyle w:val="SemEspaamento"/>
        <w:rPr>
          <w:rFonts w:asciiTheme="minorHAnsi" w:eastAsia="Calibri" w:hAnsiTheme="minorHAnsi" w:cstheme="minorHAnsi"/>
        </w:rPr>
      </w:pPr>
      <w:r w:rsidRPr="00D20F40">
        <w:rPr>
          <w:rFonts w:asciiTheme="minorHAnsi" w:eastAsia="Calibri" w:hAnsiTheme="minorHAnsi" w:cstheme="minorHAnsi"/>
        </w:rPr>
        <w:t>B - Previsão máxima de ressarcimento mensal da aquisição de peças necessárias para a manutenção corretiva;</w:t>
      </w:r>
    </w:p>
    <w:p w14:paraId="2F4364BD" w14:textId="77777777" w:rsidR="00D20F40" w:rsidRPr="00D20F40" w:rsidRDefault="00D20F40" w:rsidP="00D20F40">
      <w:pPr>
        <w:pStyle w:val="SemEspaamento"/>
        <w:rPr>
          <w:rFonts w:asciiTheme="minorHAnsi" w:eastAsia="Calibri" w:hAnsiTheme="minorHAnsi" w:cstheme="minorHAnsi"/>
        </w:rPr>
      </w:pPr>
      <w:r w:rsidRPr="00D20F40">
        <w:rPr>
          <w:rFonts w:asciiTheme="minorHAnsi" w:eastAsia="Calibri" w:hAnsiTheme="minorHAnsi" w:cstheme="minorHAnsi"/>
        </w:rPr>
        <w:t>C - Acréscimo do BDI fixo de 10% sobre B;</w:t>
      </w:r>
    </w:p>
    <w:p w14:paraId="470EBD0E" w14:textId="77777777" w:rsidR="00D20F40" w:rsidRPr="00D20F40" w:rsidRDefault="00D20F40" w:rsidP="00D20F40">
      <w:pPr>
        <w:pStyle w:val="SemEspaamento"/>
        <w:rPr>
          <w:rFonts w:asciiTheme="minorHAnsi" w:eastAsia="Calibri" w:hAnsiTheme="minorHAnsi" w:cstheme="minorHAnsi"/>
        </w:rPr>
      </w:pPr>
      <w:r w:rsidRPr="00D20F40">
        <w:rPr>
          <w:rFonts w:asciiTheme="minorHAnsi" w:eastAsia="Calibri" w:hAnsiTheme="minorHAnsi" w:cstheme="minorHAnsi"/>
        </w:rPr>
        <w:t>D - Preço de referência mensal máximo dos serviços.</w:t>
      </w:r>
    </w:p>
    <w:p w14:paraId="110FFD37" w14:textId="149ACBFE" w:rsidR="00D20F40" w:rsidRDefault="00D20F40">
      <w:pPr>
        <w:spacing w:after="160" w:line="259" w:lineRule="auto"/>
        <w:rPr>
          <w:rFonts w:ascii="Times New Roman" w:eastAsia="SimSun" w:hAnsi="Times New Roman" w:cs="Times New Roman"/>
          <w:kern w:val="3"/>
          <w:sz w:val="22"/>
          <w:szCs w:val="22"/>
          <w:lang w:eastAsia="zh-CN" w:bidi="hi-IN"/>
        </w:rPr>
      </w:pPr>
    </w:p>
    <w:p w14:paraId="11907950" w14:textId="6E8AA1B7" w:rsidR="00950D06" w:rsidRDefault="00950D06">
      <w:pPr>
        <w:spacing w:after="160" w:line="259" w:lineRule="auto"/>
        <w:rPr>
          <w:rFonts w:ascii="Times New Roman" w:eastAsia="SimSun" w:hAnsi="Times New Roman" w:cs="Times New Roman"/>
          <w:kern w:val="3"/>
          <w:sz w:val="22"/>
          <w:szCs w:val="22"/>
          <w:lang w:eastAsia="zh-CN" w:bidi="hi-IN"/>
        </w:rPr>
      </w:pPr>
    </w:p>
    <w:p w14:paraId="576AD766" w14:textId="38D64FE1" w:rsidR="00950D06" w:rsidRDefault="00950D06">
      <w:pPr>
        <w:spacing w:after="160" w:line="259" w:lineRule="auto"/>
        <w:rPr>
          <w:rFonts w:ascii="Times New Roman" w:eastAsia="SimSun" w:hAnsi="Times New Roman" w:cs="Times New Roman"/>
          <w:kern w:val="3"/>
          <w:sz w:val="22"/>
          <w:szCs w:val="22"/>
          <w:lang w:eastAsia="zh-CN" w:bidi="hi-IN"/>
        </w:rPr>
      </w:pPr>
    </w:p>
    <w:p w14:paraId="10C32CD4" w14:textId="77777777" w:rsidR="00950D06" w:rsidRDefault="00950D06">
      <w:pPr>
        <w:spacing w:after="160" w:line="259" w:lineRule="auto"/>
        <w:rPr>
          <w:rFonts w:ascii="Times New Roman" w:eastAsia="SimSun" w:hAnsi="Times New Roman" w:cs="Times New Roman"/>
          <w:kern w:val="3"/>
          <w:sz w:val="22"/>
          <w:szCs w:val="22"/>
          <w:lang w:eastAsia="zh-CN" w:bidi="hi-IN"/>
        </w:rPr>
      </w:pPr>
    </w:p>
    <w:p w14:paraId="03EEC88B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Declara, sob as penas da Lei, em especial o artigo 299 do Código Penal Brasileiro, que:</w:t>
      </w:r>
    </w:p>
    <w:p w14:paraId="5578BAA8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br/>
        <w:t>a) a presente proposta foi elaborada de maneira independente e seu conteúdo não foi, no todo</w:t>
      </w:r>
      <w:r w:rsidRPr="001405C6">
        <w:rPr>
          <w:rFonts w:ascii="Times New Roman" w:hAnsi="Times New Roman" w:cs="Times New Roman"/>
          <w:sz w:val="22"/>
          <w:szCs w:val="22"/>
        </w:rPr>
        <w:br/>
        <w:t>ou em parte, direta ou indiretamente, informado, discutido ou recebido de qualquer outro</w:t>
      </w:r>
      <w:r w:rsidRPr="001405C6">
        <w:rPr>
          <w:rFonts w:ascii="Times New Roman" w:hAnsi="Times New Roman" w:cs="Times New Roman"/>
          <w:sz w:val="22"/>
          <w:szCs w:val="22"/>
        </w:rPr>
        <w:br/>
        <w:t>participante potencial ou de fato do presente Pregão Eletrônico, por qualquer meio ou por</w:t>
      </w:r>
      <w:r w:rsidRPr="001405C6">
        <w:rPr>
          <w:rFonts w:ascii="Times New Roman" w:hAnsi="Times New Roman" w:cs="Times New Roman"/>
          <w:sz w:val="22"/>
          <w:szCs w:val="22"/>
        </w:rPr>
        <w:br/>
        <w:t>qualquer pessoa;</w:t>
      </w:r>
    </w:p>
    <w:p w14:paraId="6B699379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16663C0C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b) não tentou por qualquer meio ou qualquer pessoa influir na decisão de qualquer outro</w:t>
      </w:r>
      <w:r w:rsidRPr="001405C6">
        <w:rPr>
          <w:rFonts w:ascii="Times New Roman" w:hAnsi="Times New Roman" w:cs="Times New Roman"/>
          <w:sz w:val="22"/>
          <w:szCs w:val="22"/>
        </w:rPr>
        <w:br/>
        <w:t>participante potencial ou de fato da presente Pregão Eletrônicos quanto a participar ou não</w:t>
      </w:r>
      <w:r w:rsidRPr="001405C6">
        <w:rPr>
          <w:rFonts w:ascii="Times New Roman" w:hAnsi="Times New Roman" w:cs="Times New Roman"/>
          <w:sz w:val="22"/>
          <w:szCs w:val="22"/>
        </w:rPr>
        <w:br/>
        <w:t>desta licitação;</w:t>
      </w:r>
    </w:p>
    <w:p w14:paraId="3FE9F23F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4BF94F5A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c) o conteúdo da presente proposta não foi, no todo ou em parte, direta ou indiretamente, informado, discutido ou recebido de qualquer integrante da SRRF09 antes da abertura oficial</w:t>
      </w:r>
      <w:r w:rsidRPr="001405C6">
        <w:rPr>
          <w:rFonts w:ascii="Times New Roman" w:hAnsi="Times New Roman" w:cs="Times New Roman"/>
          <w:sz w:val="22"/>
          <w:szCs w:val="22"/>
        </w:rPr>
        <w:br/>
        <w:t>das propostas.</w:t>
      </w:r>
    </w:p>
    <w:p w14:paraId="1F72F646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0F9CE0D3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d) o representante abaixo-assinado está plenamente ciente do teor e da extensão desta</w:t>
      </w:r>
      <w:r w:rsidRPr="001405C6">
        <w:rPr>
          <w:rFonts w:ascii="Times New Roman" w:hAnsi="Times New Roman" w:cs="Times New Roman"/>
          <w:sz w:val="22"/>
          <w:szCs w:val="22"/>
        </w:rPr>
        <w:br/>
        <w:t>declaração e que detém plenos poderes e informações para firmá-la e manifesta a sua</w:t>
      </w:r>
      <w:r w:rsidRPr="001405C6">
        <w:rPr>
          <w:rFonts w:ascii="Times New Roman" w:hAnsi="Times New Roman" w:cs="Times New Roman"/>
          <w:sz w:val="22"/>
          <w:szCs w:val="22"/>
        </w:rPr>
        <w:br/>
        <w:t>concordância com a adequação do projeto executivo.</w:t>
      </w:r>
    </w:p>
    <w:p w14:paraId="08CE6F91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0A266C86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e) os preços indicados na proposta incluem todos os custos, benefícios, encargos, tributos e</w:t>
      </w:r>
      <w:r w:rsidRPr="001405C6">
        <w:rPr>
          <w:rFonts w:ascii="Times New Roman" w:hAnsi="Times New Roman" w:cs="Times New Roman"/>
          <w:sz w:val="22"/>
          <w:szCs w:val="22"/>
        </w:rPr>
        <w:br/>
        <w:t>demais contribuições pertinentes;</w:t>
      </w:r>
    </w:p>
    <w:p w14:paraId="61CDCEAD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24EE373C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f) conhece a legislação de regência desta licitação e que os bens serão fornecidos de acordo</w:t>
      </w:r>
      <w:r w:rsidRPr="001405C6">
        <w:rPr>
          <w:rFonts w:ascii="Times New Roman" w:hAnsi="Times New Roman" w:cs="Times New Roman"/>
          <w:sz w:val="22"/>
          <w:szCs w:val="22"/>
        </w:rPr>
        <w:br/>
        <w:t>com as condições estabelecidas neste Edital e seus anexos;</w:t>
      </w:r>
    </w:p>
    <w:p w14:paraId="6BB9E253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8041690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g) não tem direito a indenização ou a reembolso de quaisquer despesas, caso a proposta não seja aceita pela SRRF09, seja qual for o motivo;</w:t>
      </w:r>
    </w:p>
    <w:p w14:paraId="23DE523C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60685E9F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h) o prazo de validade desta proposta é de 60 dias, contados da data de abertura da sessão pública estabelecida no preâmbulo do Edital;</w:t>
      </w:r>
    </w:p>
    <w:p w14:paraId="52E56223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36940682" w14:textId="77777777" w:rsidR="005B66A9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(data)</w:t>
      </w:r>
      <w:r w:rsidRPr="001405C6">
        <w:rPr>
          <w:rFonts w:ascii="Times New Roman" w:hAnsi="Times New Roman" w:cs="Times New Roman"/>
          <w:sz w:val="22"/>
          <w:szCs w:val="22"/>
        </w:rPr>
        <w:br/>
        <w:t>(assinatura do representante legal)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7547A01" w14:textId="77777777" w:rsidR="005B66A9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5043CB0F" w14:textId="77777777" w:rsidR="005B66A9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07459315" w14:textId="77777777" w:rsidR="005B66A9" w:rsidRPr="001405C6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77761367" w14:textId="77777777" w:rsidR="005B66A9" w:rsidRPr="0029567A" w:rsidRDefault="005B66A9" w:rsidP="005B66A9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67A">
        <w:rPr>
          <w:rFonts w:ascii="Times New Roman" w:hAnsi="Times New Roman" w:cs="Times New Roman"/>
          <w:b/>
          <w:sz w:val="28"/>
          <w:szCs w:val="28"/>
          <w:highlight w:val="yellow"/>
        </w:rPr>
        <w:t>(JUNTAMENTE COM A PROPOSTA DE PREÇOS DEVERÁ SER ENCAMINHADO O ANEXO IV DO EDITAL – DECLARAÇÃO DE AUSÊNCIA DE NEPOTISMO)</w:t>
      </w:r>
    </w:p>
    <w:p w14:paraId="6537F28F" w14:textId="77777777" w:rsidR="005B66A9" w:rsidRPr="0029567A" w:rsidRDefault="005B66A9" w:rsidP="005B66A9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6DFB9E20" w14:textId="77777777" w:rsidR="005B66A9" w:rsidRPr="001405C6" w:rsidRDefault="005B66A9" w:rsidP="005B66A9">
      <w:pPr>
        <w:jc w:val="center"/>
        <w:rPr>
          <w:rFonts w:ascii="Times New Roman" w:hAnsi="Times New Roman" w:cs="Times New Roman"/>
          <w:iCs/>
          <w:sz w:val="22"/>
          <w:szCs w:val="22"/>
        </w:rPr>
      </w:pPr>
    </w:p>
    <w:p w14:paraId="70DF9E56" w14:textId="77777777" w:rsidR="00273A9A" w:rsidRDefault="00273A9A"/>
    <w:sectPr w:rsidR="00273A9A" w:rsidSect="00E63486">
      <w:pgSz w:w="11906" w:h="16838"/>
      <w:pgMar w:top="1134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B3C23" w14:textId="77777777" w:rsidR="00796F2B" w:rsidRDefault="00796F2B" w:rsidP="005B66A9">
      <w:r>
        <w:separator/>
      </w:r>
    </w:p>
  </w:endnote>
  <w:endnote w:type="continuationSeparator" w:id="0">
    <w:p w14:paraId="3B81DFB2" w14:textId="77777777" w:rsidR="00796F2B" w:rsidRDefault="00796F2B" w:rsidP="005B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4F382" w14:textId="77777777" w:rsidR="00796F2B" w:rsidRDefault="00796F2B" w:rsidP="005B66A9">
      <w:r>
        <w:separator/>
      </w:r>
    </w:p>
  </w:footnote>
  <w:footnote w:type="continuationSeparator" w:id="0">
    <w:p w14:paraId="4B55BF21" w14:textId="77777777" w:rsidR="00796F2B" w:rsidRDefault="00796F2B" w:rsidP="005B6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6A9"/>
    <w:rsid w:val="00136B3B"/>
    <w:rsid w:val="001846D5"/>
    <w:rsid w:val="00273A9A"/>
    <w:rsid w:val="00280E1A"/>
    <w:rsid w:val="00380994"/>
    <w:rsid w:val="00394582"/>
    <w:rsid w:val="004146D9"/>
    <w:rsid w:val="00441F88"/>
    <w:rsid w:val="00501C64"/>
    <w:rsid w:val="005B66A9"/>
    <w:rsid w:val="005E2C96"/>
    <w:rsid w:val="00643BFC"/>
    <w:rsid w:val="00796F2B"/>
    <w:rsid w:val="007B0B25"/>
    <w:rsid w:val="009150B5"/>
    <w:rsid w:val="00950D06"/>
    <w:rsid w:val="009F651B"/>
    <w:rsid w:val="00CC09D5"/>
    <w:rsid w:val="00D20F40"/>
    <w:rsid w:val="00DE08AC"/>
    <w:rsid w:val="00E05788"/>
    <w:rsid w:val="00E63486"/>
    <w:rsid w:val="00F63C75"/>
    <w:rsid w:val="00FE67F0"/>
    <w:rsid w:val="2C83D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5A941"/>
  <w15:chartTrackingRefBased/>
  <w15:docId w15:val="{DC02B095-491C-4B79-AD67-47D0BB2A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C64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66A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5B66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66A9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B66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66A9"/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59"/>
    <w:rsid w:val="00136B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emEspaamento">
    <w:name w:val="No Spacing"/>
    <w:uiPriority w:val="1"/>
    <w:qFormat/>
    <w:rsid w:val="00D20F40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B62E245B5A6F04682EA123624F6FD36" ma:contentTypeVersion="15" ma:contentTypeDescription="Crie um novo documento." ma:contentTypeScope="" ma:versionID="b096223321e64e71d1d09076150ecb13">
  <xsd:schema xmlns:xsd="http://www.w3.org/2001/XMLSchema" xmlns:xs="http://www.w3.org/2001/XMLSchema" xmlns:p="http://schemas.microsoft.com/office/2006/metadata/properties" xmlns:ns2="3b42ffab-af92-46e1-b807-af7796583ecc" xmlns:ns3="cffa44a5-367d-4148-9e33-6b57c7d35a6a" targetNamespace="http://schemas.microsoft.com/office/2006/metadata/properties" ma:root="true" ma:fieldsID="d11b45e58e12f32654a80ae1e26a80ce" ns2:_="" ns3:_="">
    <xsd:import namespace="3b42ffab-af92-46e1-b807-af7796583ecc"/>
    <xsd:import namespace="cffa44a5-367d-4148-9e33-6b57c7d35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ffab-af92-46e1-b807-af7796583e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a44a5-367d-4148-9e33-6b57c7d35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64e92c-402d-4384-b418-ab4e296c6382}" ma:internalName="TaxCatchAll" ma:showField="CatchAllData" ma:web="cffa44a5-367d-4148-9e33-6b57c7d35a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fa44a5-367d-4148-9e33-6b57c7d35a6a" xsi:nil="true"/>
    <lcf76f155ced4ddcb4097134ff3c332f xmlns="3b42ffab-af92-46e1-b807-af7796583e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D2D72C-E4FB-4625-9844-B6EDEC740B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FADFA-B7F8-420B-B2D6-499401FF3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2ffab-af92-46e1-b807-af7796583ecc"/>
    <ds:schemaRef ds:uri="cffa44a5-367d-4148-9e33-6b57c7d35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21E368-DF70-4285-90AE-72547E7B142D}">
  <ds:schemaRefs>
    <ds:schemaRef ds:uri="http://schemas.microsoft.com/office/2006/metadata/properties"/>
    <ds:schemaRef ds:uri="http://schemas.microsoft.com/office/infopath/2007/PartnerControls"/>
    <ds:schemaRef ds:uri="cffa44a5-367d-4148-9e33-6b57c7d35a6a"/>
    <ds:schemaRef ds:uri="3b42ffab-af92-46e1-b807-af7796583e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569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Fazenda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Cantidio Ikeda</dc:creator>
  <cp:keywords/>
  <dc:description/>
  <cp:lastModifiedBy>Laura Luisa Medeiros de Souza</cp:lastModifiedBy>
  <cp:revision>14</cp:revision>
  <dcterms:created xsi:type="dcterms:W3CDTF">2022-08-16T19:43:00Z</dcterms:created>
  <dcterms:modified xsi:type="dcterms:W3CDTF">2023-01-17T18:53:00Z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0x010100DB62E245B5A6F04682EA123624F6FD36</vt:lpwstr>
  </property>
</Properties>
</file>